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8B695" w14:textId="2C8021A2" w:rsidR="00327220" w:rsidRPr="00DC659E" w:rsidRDefault="00924339" w:rsidP="00327220">
      <w:pPr>
        <w:ind w:left="6480" w:firstLine="720"/>
        <w:rPr>
          <w:rFonts w:ascii="Arial" w:hAnsi="Arial" w:cs="Arial"/>
          <w:b/>
          <w:sz w:val="24"/>
          <w:szCs w:val="24"/>
          <w:lang w:val="ro-RO"/>
        </w:rPr>
      </w:pPr>
      <w:r>
        <w:rPr>
          <w:rFonts w:ascii="Arial" w:hAnsi="Arial" w:cs="Arial"/>
          <w:b/>
          <w:sz w:val="24"/>
          <w:szCs w:val="24"/>
          <w:lang w:val="ro-RO"/>
        </w:rPr>
        <w:t>`</w:t>
      </w:r>
      <w:bookmarkStart w:id="0" w:name="_GoBack"/>
      <w:bookmarkEnd w:id="0"/>
      <w:r w:rsidR="00327220" w:rsidRPr="00DC659E">
        <w:rPr>
          <w:rFonts w:ascii="Arial" w:hAnsi="Arial" w:cs="Arial"/>
          <w:b/>
          <w:sz w:val="24"/>
          <w:szCs w:val="24"/>
          <w:lang w:val="ro-RO"/>
        </w:rPr>
        <w:t>Anexa nr. 1</w:t>
      </w:r>
    </w:p>
    <w:p w14:paraId="44414B98" w14:textId="77777777" w:rsidR="00327220" w:rsidRDefault="00327220" w:rsidP="00327220">
      <w:pPr>
        <w:rPr>
          <w:rFonts w:ascii="Arial" w:hAnsi="Arial" w:cs="Arial"/>
          <w:sz w:val="24"/>
          <w:szCs w:val="24"/>
          <w:lang w:val="ro-RO"/>
        </w:rPr>
      </w:pPr>
    </w:p>
    <w:p w14:paraId="2C02D814" w14:textId="77777777" w:rsidR="00015C19" w:rsidRPr="00DC659E" w:rsidRDefault="00015C19" w:rsidP="00327220">
      <w:pPr>
        <w:rPr>
          <w:rFonts w:ascii="Arial" w:hAnsi="Arial" w:cs="Arial"/>
          <w:sz w:val="24"/>
          <w:szCs w:val="24"/>
          <w:lang w:val="ro-RO"/>
        </w:rPr>
      </w:pPr>
    </w:p>
    <w:p w14:paraId="17FDDB6A" w14:textId="77777777" w:rsidR="00327220" w:rsidRPr="00DC659E" w:rsidRDefault="00327220" w:rsidP="00327220">
      <w:pPr>
        <w:jc w:val="center"/>
        <w:rPr>
          <w:rFonts w:ascii="Arial" w:hAnsi="Arial" w:cs="Arial"/>
          <w:sz w:val="24"/>
          <w:szCs w:val="24"/>
          <w:lang w:val="ro-RO"/>
        </w:rPr>
      </w:pPr>
      <w:r w:rsidRPr="00DC659E">
        <w:rPr>
          <w:rFonts w:ascii="Arial" w:hAnsi="Arial" w:cs="Arial"/>
          <w:b/>
          <w:bCs/>
          <w:sz w:val="24"/>
          <w:szCs w:val="24"/>
          <w:lang w:val="ro-RO"/>
        </w:rPr>
        <w:t>PROCEDURA</w:t>
      </w:r>
    </w:p>
    <w:p w14:paraId="00D73925" w14:textId="77777777" w:rsidR="00327220" w:rsidRPr="00DC659E" w:rsidRDefault="00327220" w:rsidP="00327220">
      <w:pPr>
        <w:jc w:val="center"/>
        <w:rPr>
          <w:rFonts w:ascii="Arial" w:hAnsi="Arial" w:cs="Arial"/>
          <w:sz w:val="24"/>
          <w:szCs w:val="24"/>
          <w:lang w:val="ro-RO"/>
        </w:rPr>
      </w:pPr>
      <w:r w:rsidRPr="00DC659E">
        <w:rPr>
          <w:rFonts w:ascii="Arial" w:hAnsi="Arial" w:cs="Arial"/>
          <w:b/>
          <w:bCs/>
          <w:sz w:val="24"/>
          <w:szCs w:val="24"/>
          <w:lang w:val="ro-RO"/>
        </w:rPr>
        <w:t>de restituire a diferenței achitată anticipat din taxa anuală de către organizatorii de     jocuri de noroc care renunţă la licenţa de organizator sau încetează să mai exploateze anumite activităţi de jocuri de noroc sau mijloace de joc, ca urmare a faptului că nu mai îndeplinesc condițiile legale</w:t>
      </w:r>
    </w:p>
    <w:p w14:paraId="5BB7E66E" w14:textId="77777777" w:rsidR="00327220" w:rsidRPr="00DC659E" w:rsidRDefault="00327220" w:rsidP="00327220">
      <w:pPr>
        <w:rPr>
          <w:rFonts w:ascii="Arial" w:hAnsi="Arial" w:cs="Arial"/>
          <w:sz w:val="24"/>
          <w:szCs w:val="24"/>
          <w:lang w:val="ro-RO"/>
        </w:rPr>
      </w:pPr>
    </w:p>
    <w:p w14:paraId="390FE753" w14:textId="77777777" w:rsidR="00327220" w:rsidRPr="00DC659E" w:rsidRDefault="00327220" w:rsidP="00327220">
      <w:pPr>
        <w:numPr>
          <w:ilvl w:val="0"/>
          <w:numId w:val="1"/>
        </w:numPr>
        <w:tabs>
          <w:tab w:val="left" w:pos="0"/>
        </w:tabs>
        <w:rPr>
          <w:rFonts w:ascii="Arial" w:hAnsi="Arial" w:cs="Arial"/>
          <w:sz w:val="24"/>
          <w:szCs w:val="24"/>
          <w:lang w:val="ro-RO"/>
        </w:rPr>
      </w:pPr>
      <w:r w:rsidRPr="00DC659E">
        <w:rPr>
          <w:rFonts w:ascii="Arial" w:hAnsi="Arial" w:cs="Arial"/>
          <w:sz w:val="24"/>
          <w:szCs w:val="24"/>
          <w:lang w:val="ro-RO"/>
        </w:rPr>
        <w:t>Fac obiectul prezentei proceduri de restituire, sumele reprezentând diferența achitată           anticipat</w:t>
      </w:r>
      <w:r w:rsidRPr="00DC659E">
        <w:rPr>
          <w:rFonts w:ascii="Arial" w:hAnsi="Arial" w:cs="Arial"/>
          <w:b/>
          <w:sz w:val="24"/>
          <w:szCs w:val="24"/>
          <w:lang w:val="ro-RO"/>
        </w:rPr>
        <w:t xml:space="preserve"> </w:t>
      </w:r>
      <w:r w:rsidRPr="00DC659E">
        <w:rPr>
          <w:rFonts w:ascii="Arial" w:hAnsi="Arial" w:cs="Arial"/>
          <w:sz w:val="24"/>
          <w:szCs w:val="24"/>
          <w:lang w:val="ro-RO"/>
        </w:rPr>
        <w:t xml:space="preserve">din taxa anuală aferentă autorizației/autorizațiilor de exploatare a jocurilor de        noroc, </w:t>
      </w:r>
      <w:r w:rsidRPr="00DC659E">
        <w:rPr>
          <w:rFonts w:ascii="Arial" w:hAnsi="Arial" w:cs="Arial"/>
          <w:i/>
          <w:sz w:val="24"/>
          <w:szCs w:val="24"/>
          <w:lang w:val="ro-RO"/>
        </w:rPr>
        <w:t xml:space="preserve">denumită în continuare diferență de taxă, </w:t>
      </w:r>
      <w:r w:rsidRPr="00DC659E">
        <w:rPr>
          <w:rFonts w:ascii="Arial" w:hAnsi="Arial" w:cs="Arial"/>
          <w:sz w:val="24"/>
          <w:szCs w:val="24"/>
          <w:lang w:val="ro-RO"/>
        </w:rPr>
        <w:t xml:space="preserve"> de către organizatorii de jocuri de noroc care renunţă la licenţa de organizator sau încetează să mai exploateze anumite activităţi de jocuri de noroc sau mijloace de joc, ca urmare a faptului că nu mai îndeplinesc condițiile legale de organizare sau exploatare, devenindu-le incidente modificări legislative cu privire la condițiile de autorizare, ulterior datei de obținere a autorizației și </w:t>
      </w:r>
      <w:r w:rsidRPr="00DC659E">
        <w:rPr>
          <w:rFonts w:ascii="Arial" w:hAnsi="Arial" w:cs="Arial"/>
          <w:bCs/>
          <w:sz w:val="24"/>
          <w:szCs w:val="24"/>
          <w:lang w:val="ro-RO"/>
        </w:rPr>
        <w:t>care se determină proporțional cu perioada cuprinsă între data de întâi a lunii următoare celei în care își încetează activitatea și sfârșitul perioadei autorizate.</w:t>
      </w:r>
      <w:r w:rsidRPr="00DC659E">
        <w:rPr>
          <w:rFonts w:ascii="Arial" w:hAnsi="Arial" w:cs="Arial"/>
          <w:sz w:val="24"/>
          <w:szCs w:val="24"/>
          <w:lang w:val="ro-RO"/>
        </w:rPr>
        <w:t xml:space="preserve"> Prin sintagma ”</w:t>
      </w:r>
      <w:r w:rsidRPr="00DC659E">
        <w:rPr>
          <w:rFonts w:ascii="Arial" w:hAnsi="Arial" w:cs="Arial"/>
          <w:i/>
          <w:sz w:val="24"/>
          <w:szCs w:val="24"/>
          <w:lang w:val="ro-RO"/>
        </w:rPr>
        <w:t>achitată anticipat”</w:t>
      </w:r>
      <w:r w:rsidRPr="00DC659E">
        <w:rPr>
          <w:rFonts w:ascii="Arial" w:hAnsi="Arial" w:cs="Arial"/>
          <w:sz w:val="24"/>
          <w:szCs w:val="24"/>
          <w:lang w:val="ro-RO"/>
        </w:rPr>
        <w:t xml:space="preserve"> se înțelege taxa de autorizare plătită pentru întregul an, în avans, până la data de 25 a lunii următoare celei în care documentaţia a fost aprobată, pentru care organizatorul de jocuri de noroc a beneficiat de o bonificaţie de 10%, conform art. 14 alin. (6) din Ordonanța de urgență a Guvernului nr. 77/2009 privind organizarea și exploatarea jocurilor de noroc, cu modificările și completările ulterioare.</w:t>
      </w:r>
    </w:p>
    <w:p w14:paraId="322A2688" w14:textId="77777777" w:rsidR="00327220" w:rsidRPr="00DC659E" w:rsidRDefault="00327220" w:rsidP="00327220">
      <w:pPr>
        <w:numPr>
          <w:ilvl w:val="0"/>
          <w:numId w:val="1"/>
        </w:numPr>
        <w:tabs>
          <w:tab w:val="left" w:pos="0"/>
        </w:tabs>
        <w:rPr>
          <w:rFonts w:ascii="Arial" w:hAnsi="Arial" w:cs="Arial"/>
          <w:sz w:val="24"/>
          <w:szCs w:val="24"/>
          <w:lang w:val="ro-RO"/>
        </w:rPr>
      </w:pPr>
      <w:r w:rsidRPr="00DC659E">
        <w:rPr>
          <w:rFonts w:ascii="Arial" w:hAnsi="Arial" w:cs="Arial"/>
          <w:sz w:val="24"/>
          <w:szCs w:val="24"/>
          <w:lang w:val="ro-RO"/>
        </w:rPr>
        <w:t>În vederea stabilirii sumei pe care organizatorii de jocuri de noroc nu o mai datorează în condițiile prevăzute la art. 17 alin. (9</w:t>
      </w:r>
      <w:r w:rsidRPr="00DC659E">
        <w:rPr>
          <w:rFonts w:ascii="Arial" w:hAnsi="Arial" w:cs="Arial"/>
          <w:sz w:val="24"/>
          <w:szCs w:val="24"/>
          <w:vertAlign w:val="superscript"/>
          <w:lang w:val="ro-RO"/>
        </w:rPr>
        <w:t>2</w:t>
      </w:r>
      <w:r w:rsidRPr="00DC659E">
        <w:rPr>
          <w:rFonts w:ascii="Arial" w:hAnsi="Arial" w:cs="Arial"/>
          <w:sz w:val="24"/>
          <w:szCs w:val="24"/>
          <w:lang w:val="ro-RO"/>
        </w:rPr>
        <w:t>) din Ordonanța de urgență a Guvernului nr. 77/2009 privind organizarea și exploatarea jocurilor de noroc, cu modificările și completările ulterioare, aceștia notifică Oficiul Național pentru Jocuri de Noroc (O.N.J.N.) prin completarea formularului prevăzut în Anexa nr. 2  la ordin privind renunțarea la licența de organizator sau încetarea exploatării anumitor activități de jocuri de noroc sau mijloace de joc, ca urmare a faptului că nu mai îndeplinesc condițiile legale de organizare sau exploatare a acestora, devenindu-le incidente modificări legislative cu privire la condițiile de autorizare, ulterior datei de obținere a autorizației.</w:t>
      </w:r>
    </w:p>
    <w:p w14:paraId="7EF44CB8" w14:textId="4A048F86" w:rsidR="00657A76" w:rsidRPr="00015C19" w:rsidRDefault="00327220" w:rsidP="00F25655">
      <w:pPr>
        <w:numPr>
          <w:ilvl w:val="0"/>
          <w:numId w:val="1"/>
        </w:numPr>
        <w:tabs>
          <w:tab w:val="left" w:pos="0"/>
        </w:tabs>
        <w:rPr>
          <w:rFonts w:ascii="Arial" w:hAnsi="Arial" w:cs="Arial"/>
          <w:sz w:val="24"/>
          <w:szCs w:val="24"/>
          <w:lang w:val="ro-RO"/>
        </w:rPr>
      </w:pPr>
      <w:r w:rsidRPr="00015C19">
        <w:rPr>
          <w:rFonts w:ascii="Arial" w:hAnsi="Arial" w:cs="Arial"/>
          <w:sz w:val="24"/>
          <w:szCs w:val="24"/>
          <w:lang w:val="ro-RO"/>
        </w:rPr>
        <w:t xml:space="preserve"> Prin notificarea prevăzută la pct. 2, organizatorii de jocuri de noroc solicită verificarea îndeplinirii  condiţiilor prevăzute de art. 17 alin. (9</w:t>
      </w:r>
      <w:r w:rsidRPr="00015C19">
        <w:rPr>
          <w:rFonts w:ascii="Arial" w:hAnsi="Arial" w:cs="Arial"/>
          <w:sz w:val="24"/>
          <w:szCs w:val="24"/>
          <w:vertAlign w:val="superscript"/>
          <w:lang w:val="ro-RO"/>
        </w:rPr>
        <w:t>2</w:t>
      </w:r>
      <w:r w:rsidRPr="00015C19">
        <w:rPr>
          <w:rFonts w:ascii="Arial" w:hAnsi="Arial" w:cs="Arial"/>
          <w:sz w:val="24"/>
          <w:szCs w:val="24"/>
          <w:lang w:val="ro-RO"/>
        </w:rPr>
        <w:t xml:space="preserve">) din Ordonanța de urgență a Guvernului  nr. 77/2009 privind organizarea și exploatarea jocurilor de noroc, cu modificările și completările ulterioare,  în ceea ce priveşte restituirea diferenţei taxei aferentă autorizaţiei de exploatare achitată anticipat cu bonificaţie de 10% și virarea acestei sume în contul bancar indicat în acest sens. </w:t>
      </w:r>
    </w:p>
    <w:p w14:paraId="3E83D968" w14:textId="77777777" w:rsidR="00327220" w:rsidRPr="00DC659E" w:rsidRDefault="00327220" w:rsidP="00327220">
      <w:pPr>
        <w:numPr>
          <w:ilvl w:val="0"/>
          <w:numId w:val="1"/>
        </w:numPr>
        <w:tabs>
          <w:tab w:val="left" w:pos="0"/>
        </w:tabs>
        <w:rPr>
          <w:rFonts w:ascii="Arial" w:hAnsi="Arial" w:cs="Arial"/>
          <w:sz w:val="24"/>
          <w:szCs w:val="24"/>
          <w:lang w:val="ro-RO"/>
        </w:rPr>
      </w:pPr>
      <w:r w:rsidRPr="00DC659E">
        <w:rPr>
          <w:rFonts w:ascii="Arial" w:hAnsi="Arial" w:cs="Arial"/>
          <w:sz w:val="24"/>
          <w:szCs w:val="24"/>
          <w:lang w:val="ro-RO"/>
        </w:rPr>
        <w:t xml:space="preserve">O.N.J.N., prin Comitetul de Supraveghere, verifică dacă organizatorii de jocuri de noroc care au depus notificări, nu mai îndeplinesc condițiile legale de organizare sau exploatare ca urmare a intrării în vigoare a modificărilor legislative ulterior datei de obținere a autorizației și emite </w:t>
      </w:r>
      <w:r w:rsidRPr="00DC659E">
        <w:rPr>
          <w:rFonts w:ascii="Arial" w:hAnsi="Arial" w:cs="Arial"/>
          <w:i/>
          <w:sz w:val="24"/>
          <w:szCs w:val="24"/>
          <w:lang w:val="ro-RO"/>
        </w:rPr>
        <w:t>Decizia privind verificarea îndeplinirii condiţiilor prevăzute de art. 17 alin. (9</w:t>
      </w:r>
      <w:r w:rsidRPr="00DC659E">
        <w:rPr>
          <w:rFonts w:ascii="Arial" w:hAnsi="Arial" w:cs="Arial"/>
          <w:i/>
          <w:sz w:val="24"/>
          <w:szCs w:val="24"/>
          <w:vertAlign w:val="superscript"/>
          <w:lang w:val="ro-RO"/>
        </w:rPr>
        <w:t>2</w:t>
      </w:r>
      <w:r w:rsidRPr="00DC659E">
        <w:rPr>
          <w:rFonts w:ascii="Arial" w:hAnsi="Arial" w:cs="Arial"/>
          <w:i/>
          <w:sz w:val="24"/>
          <w:szCs w:val="24"/>
          <w:lang w:val="ro-RO"/>
        </w:rPr>
        <w:t xml:space="preserve">) din </w:t>
      </w:r>
      <w:r w:rsidRPr="00DC659E">
        <w:rPr>
          <w:rFonts w:ascii="Arial" w:hAnsi="Arial" w:cs="Arial"/>
          <w:i/>
          <w:sz w:val="24"/>
          <w:szCs w:val="24"/>
          <w:lang w:val="ro-RO"/>
        </w:rPr>
        <w:lastRenderedPageBreak/>
        <w:t>Ordonanța de urgență a Guvernului</w:t>
      </w:r>
      <w:r w:rsidRPr="00DC659E">
        <w:rPr>
          <w:rFonts w:ascii="Arial" w:hAnsi="Arial" w:cs="Arial"/>
          <w:sz w:val="24"/>
          <w:szCs w:val="24"/>
          <w:lang w:val="ro-RO"/>
        </w:rPr>
        <w:t xml:space="preserve"> </w:t>
      </w:r>
      <w:r w:rsidRPr="00DC659E">
        <w:rPr>
          <w:rFonts w:ascii="Arial" w:hAnsi="Arial" w:cs="Arial"/>
          <w:i/>
          <w:sz w:val="24"/>
          <w:szCs w:val="24"/>
          <w:lang w:val="ro-RO"/>
        </w:rPr>
        <w:t>nr. 77/2009 privind organizarea și exploatarea jocurilor de noroc, cu modificările si completările ulterioare şi de constatare a diferenţei de taxă pe care organizatorul nu o mai datorează din taxa de autorizare achitată anticipat cu bonificaţie de 10%</w:t>
      </w:r>
      <w:r w:rsidRPr="00DC659E">
        <w:rPr>
          <w:rFonts w:ascii="Arial" w:hAnsi="Arial" w:cs="Arial"/>
          <w:sz w:val="24"/>
          <w:szCs w:val="24"/>
          <w:lang w:val="ro-RO"/>
        </w:rPr>
        <w:t xml:space="preserve">, al cărei model este prevăzut în Anexa nr. 3 la ordin. </w:t>
      </w:r>
    </w:p>
    <w:p w14:paraId="63383D6D" w14:textId="46A301AE" w:rsidR="00327220" w:rsidRPr="00DC659E" w:rsidRDefault="00327220" w:rsidP="00327220">
      <w:pPr>
        <w:numPr>
          <w:ilvl w:val="0"/>
          <w:numId w:val="1"/>
        </w:numPr>
        <w:tabs>
          <w:tab w:val="left" w:pos="0"/>
        </w:tabs>
        <w:rPr>
          <w:rFonts w:ascii="Arial" w:hAnsi="Arial" w:cs="Arial"/>
          <w:sz w:val="24"/>
          <w:szCs w:val="24"/>
          <w:lang w:val="ro-RO"/>
        </w:rPr>
      </w:pPr>
      <w:r w:rsidRPr="00DC659E">
        <w:rPr>
          <w:rFonts w:ascii="Arial" w:hAnsi="Arial" w:cs="Arial"/>
          <w:sz w:val="24"/>
          <w:szCs w:val="24"/>
          <w:lang w:val="ro-RO"/>
        </w:rPr>
        <w:t>În cazul în care organizatorul de jocuri de noroc nu mai îndeplinește condițiile legale de organizare sau exploatare a anumitor activități de jocuri de noroc sau mijloace de joc, Comitetul de Supraveghere, prin decizia prevăzută la pct.4, stabilește diferența de taxă achitată anticipat</w:t>
      </w:r>
      <w:r w:rsidRPr="00DC659E">
        <w:rPr>
          <w:rFonts w:ascii="Arial" w:hAnsi="Arial" w:cs="Arial"/>
          <w:b/>
          <w:sz w:val="24"/>
          <w:szCs w:val="24"/>
          <w:lang w:val="ro-RO"/>
        </w:rPr>
        <w:t xml:space="preserve"> </w:t>
      </w:r>
      <w:r w:rsidRPr="00DC659E">
        <w:rPr>
          <w:rFonts w:ascii="Arial" w:hAnsi="Arial" w:cs="Arial"/>
          <w:sz w:val="24"/>
          <w:szCs w:val="24"/>
          <w:lang w:val="ro-RO"/>
        </w:rPr>
        <w:t xml:space="preserve">pe care acesta nu o mai datorează și pentru care i se naște dreptul la restituire potrivit art.168 din Legea nr. 207/2015 privind Codul de procedură fiscală, cu modificările și completările ulterioare. În acest caz, </w:t>
      </w:r>
      <w:r w:rsidR="00657A76">
        <w:rPr>
          <w:rFonts w:ascii="Arial" w:hAnsi="Arial" w:cs="Arial"/>
          <w:sz w:val="24"/>
          <w:szCs w:val="24"/>
          <w:lang w:val="ro-RO"/>
        </w:rPr>
        <w:t xml:space="preserve">după </w:t>
      </w:r>
      <w:r w:rsidRPr="00DC659E">
        <w:rPr>
          <w:rFonts w:ascii="Arial" w:hAnsi="Arial" w:cs="Arial"/>
          <w:sz w:val="24"/>
          <w:szCs w:val="24"/>
          <w:lang w:val="ro-RO"/>
        </w:rPr>
        <w:t>comunicarea deciziei către organizatorul de jocuri de noroc, Comitetul de Supraveghere comunică câte un exemplar original al deciziei prin care se constată diferența de taxă pe care organizatorul de jocuri de noroc nu o mai datorează, însoțit de o copie a notificării depusă de către acesta astfel :</w:t>
      </w:r>
    </w:p>
    <w:p w14:paraId="7F9965D8" w14:textId="77777777" w:rsidR="00327220" w:rsidRPr="00DC659E" w:rsidRDefault="00327220" w:rsidP="00327220">
      <w:pPr>
        <w:rPr>
          <w:rFonts w:ascii="Arial" w:hAnsi="Arial" w:cs="Arial"/>
          <w:sz w:val="24"/>
          <w:szCs w:val="24"/>
          <w:lang w:val="ro-RO"/>
        </w:rPr>
      </w:pPr>
      <w:r w:rsidRPr="00DC659E">
        <w:rPr>
          <w:rFonts w:ascii="Arial" w:hAnsi="Arial" w:cs="Arial"/>
          <w:b/>
          <w:bCs/>
          <w:sz w:val="24"/>
          <w:szCs w:val="24"/>
          <w:lang w:val="ro-RO"/>
        </w:rPr>
        <w:t>a)</w:t>
      </w:r>
      <w:r w:rsidRPr="00DC659E">
        <w:rPr>
          <w:rFonts w:ascii="Arial" w:hAnsi="Arial" w:cs="Arial"/>
          <w:sz w:val="24"/>
          <w:szCs w:val="24"/>
          <w:lang w:val="ro-RO"/>
        </w:rPr>
        <w:t xml:space="preserve"> organului fiscal central competent în administrarea obligațiilor fiscale datorate de către organizatorul de jocuri de noroc;</w:t>
      </w:r>
    </w:p>
    <w:p w14:paraId="3AE51B36" w14:textId="77777777" w:rsidR="00327220" w:rsidRPr="00DC659E" w:rsidRDefault="00327220" w:rsidP="00327220">
      <w:pPr>
        <w:rPr>
          <w:rFonts w:ascii="Arial" w:hAnsi="Arial" w:cs="Arial"/>
          <w:sz w:val="24"/>
          <w:szCs w:val="24"/>
          <w:lang w:val="ro-RO"/>
        </w:rPr>
      </w:pPr>
      <w:r w:rsidRPr="00DC659E">
        <w:rPr>
          <w:rFonts w:ascii="Arial" w:hAnsi="Arial" w:cs="Arial"/>
          <w:b/>
          <w:bCs/>
          <w:sz w:val="24"/>
          <w:szCs w:val="24"/>
          <w:lang w:val="ro-RO"/>
        </w:rPr>
        <w:t xml:space="preserve">b) </w:t>
      </w:r>
      <w:r w:rsidRPr="00DC659E">
        <w:rPr>
          <w:rFonts w:ascii="Arial" w:hAnsi="Arial" w:cs="Arial"/>
          <w:sz w:val="24"/>
          <w:szCs w:val="24"/>
          <w:lang w:val="ro-RO"/>
        </w:rPr>
        <w:t xml:space="preserve"> Comitetului Olimpic și Sportiv Român;</w:t>
      </w:r>
    </w:p>
    <w:p w14:paraId="0251B752" w14:textId="77777777" w:rsidR="00327220" w:rsidRPr="00DC659E" w:rsidRDefault="00327220" w:rsidP="00327220">
      <w:pPr>
        <w:rPr>
          <w:rFonts w:ascii="Arial" w:hAnsi="Arial" w:cs="Arial"/>
          <w:sz w:val="24"/>
          <w:szCs w:val="24"/>
          <w:lang w:val="ro-RO"/>
        </w:rPr>
      </w:pPr>
      <w:r w:rsidRPr="00DC659E">
        <w:rPr>
          <w:rFonts w:ascii="Arial" w:hAnsi="Arial" w:cs="Arial"/>
          <w:b/>
          <w:bCs/>
          <w:sz w:val="24"/>
          <w:szCs w:val="24"/>
          <w:lang w:val="ro-RO"/>
        </w:rPr>
        <w:t xml:space="preserve">c) </w:t>
      </w:r>
      <w:r w:rsidRPr="00DC659E">
        <w:rPr>
          <w:rFonts w:ascii="Arial" w:hAnsi="Arial" w:cs="Arial"/>
          <w:sz w:val="24"/>
          <w:szCs w:val="24"/>
          <w:lang w:val="ro-RO"/>
        </w:rPr>
        <w:t>Comitetului Național Paralimpic.</w:t>
      </w:r>
    </w:p>
    <w:p w14:paraId="13F269F5" w14:textId="472BC506" w:rsidR="00327220" w:rsidRPr="00DC659E" w:rsidRDefault="00327220" w:rsidP="00327220">
      <w:pPr>
        <w:pStyle w:val="ListParagraph1"/>
        <w:numPr>
          <w:ilvl w:val="0"/>
          <w:numId w:val="1"/>
        </w:numPr>
        <w:tabs>
          <w:tab w:val="left" w:pos="0"/>
        </w:tabs>
        <w:rPr>
          <w:rFonts w:ascii="Arial" w:hAnsi="Arial" w:cs="Arial"/>
          <w:sz w:val="24"/>
          <w:szCs w:val="24"/>
          <w:lang w:val="ro-RO"/>
        </w:rPr>
      </w:pPr>
      <w:r w:rsidRPr="00DC659E">
        <w:rPr>
          <w:rFonts w:ascii="Arial" w:hAnsi="Arial" w:cs="Arial"/>
          <w:sz w:val="24"/>
          <w:szCs w:val="24"/>
          <w:lang w:val="ro-RO"/>
        </w:rPr>
        <w:t>Împotriva deciziei prevăzută la pct.4, organizatorul de jocuri de noroc poate depune contestație la sediul emitentului actului, potrivit Legii contenciosului administrativ nr. 554/2004, cu modific</w:t>
      </w:r>
      <w:r w:rsidR="00514A71">
        <w:rPr>
          <w:rFonts w:ascii="Arial" w:hAnsi="Arial" w:cs="Arial"/>
          <w:sz w:val="24"/>
          <w:szCs w:val="24"/>
          <w:lang w:val="ro-RO"/>
        </w:rPr>
        <w:t>ă</w:t>
      </w:r>
      <w:r w:rsidRPr="00DC659E">
        <w:rPr>
          <w:rFonts w:ascii="Arial" w:hAnsi="Arial" w:cs="Arial"/>
          <w:sz w:val="24"/>
          <w:szCs w:val="24"/>
          <w:lang w:val="ro-RO"/>
        </w:rPr>
        <w:t xml:space="preserve">rile </w:t>
      </w:r>
      <w:r w:rsidR="00514A71">
        <w:rPr>
          <w:rFonts w:ascii="Arial" w:hAnsi="Arial" w:cs="Arial"/>
          <w:sz w:val="24"/>
          <w:szCs w:val="24"/>
          <w:lang w:val="ro-RO"/>
        </w:rPr>
        <w:t>ș</w:t>
      </w:r>
      <w:r w:rsidRPr="00DC659E">
        <w:rPr>
          <w:rFonts w:ascii="Arial" w:hAnsi="Arial" w:cs="Arial"/>
          <w:sz w:val="24"/>
          <w:szCs w:val="24"/>
          <w:lang w:val="ro-RO"/>
        </w:rPr>
        <w:t>i complet</w:t>
      </w:r>
      <w:r w:rsidR="00514A71">
        <w:rPr>
          <w:rFonts w:ascii="Arial" w:hAnsi="Arial" w:cs="Arial"/>
          <w:sz w:val="24"/>
          <w:szCs w:val="24"/>
          <w:lang w:val="ro-RO"/>
        </w:rPr>
        <w:t>ă</w:t>
      </w:r>
      <w:r w:rsidRPr="00DC659E">
        <w:rPr>
          <w:rFonts w:ascii="Arial" w:hAnsi="Arial" w:cs="Arial"/>
          <w:sz w:val="24"/>
          <w:szCs w:val="24"/>
          <w:lang w:val="ro-RO"/>
        </w:rPr>
        <w:t>rile ulterioare.</w:t>
      </w:r>
    </w:p>
    <w:p w14:paraId="55D79314" w14:textId="77777777" w:rsidR="00327220" w:rsidRPr="00DC659E" w:rsidRDefault="00327220" w:rsidP="00327220">
      <w:pPr>
        <w:numPr>
          <w:ilvl w:val="0"/>
          <w:numId w:val="1"/>
        </w:numPr>
        <w:tabs>
          <w:tab w:val="left" w:pos="0"/>
        </w:tabs>
        <w:rPr>
          <w:rFonts w:ascii="Arial" w:hAnsi="Arial" w:cs="Arial"/>
          <w:sz w:val="24"/>
          <w:szCs w:val="24"/>
          <w:lang w:val="ro-RO"/>
        </w:rPr>
      </w:pPr>
      <w:r w:rsidRPr="00DC659E">
        <w:rPr>
          <w:rFonts w:ascii="Arial" w:hAnsi="Arial" w:cs="Arial"/>
          <w:sz w:val="24"/>
          <w:szCs w:val="24"/>
          <w:lang w:val="ro-RO"/>
        </w:rPr>
        <w:t>În decizia prevăzută la pct. 4, diferența de taxă achitată anticipat pe care organizatorul de jocuri de noroc nu o mai datorează, pentru care are drept de restituire, se individualizează defalcat în funcție de contul beneficiarului în care a fost virată  taxa  plătită inițial, respectiv:</w:t>
      </w:r>
    </w:p>
    <w:p w14:paraId="4A324427" w14:textId="77777777" w:rsidR="00327220" w:rsidRPr="00DC659E" w:rsidRDefault="00327220" w:rsidP="00327220">
      <w:pPr>
        <w:pStyle w:val="ListParagraph1"/>
        <w:numPr>
          <w:ilvl w:val="0"/>
          <w:numId w:val="2"/>
        </w:numPr>
        <w:tabs>
          <w:tab w:val="left" w:pos="0"/>
        </w:tabs>
        <w:rPr>
          <w:rFonts w:ascii="Arial" w:hAnsi="Arial" w:cs="Arial"/>
          <w:sz w:val="24"/>
          <w:szCs w:val="24"/>
          <w:lang w:val="ro-RO"/>
        </w:rPr>
      </w:pPr>
      <w:r w:rsidRPr="00DC659E">
        <w:rPr>
          <w:rFonts w:ascii="Arial" w:hAnsi="Arial" w:cs="Arial"/>
          <w:sz w:val="24"/>
          <w:szCs w:val="24"/>
          <w:lang w:val="ro-RO"/>
        </w:rPr>
        <w:t>contul de venituri 20.A.16.01.08 ”Taxa anuală pentru obținerea autorizației de exploatare a jocurilor de noroc”;</w:t>
      </w:r>
    </w:p>
    <w:p w14:paraId="056D5680" w14:textId="77777777" w:rsidR="00327220" w:rsidRPr="00DC659E" w:rsidRDefault="00327220" w:rsidP="00327220">
      <w:pPr>
        <w:pStyle w:val="ListParagraph1"/>
        <w:numPr>
          <w:ilvl w:val="0"/>
          <w:numId w:val="2"/>
        </w:numPr>
        <w:tabs>
          <w:tab w:val="left" w:pos="0"/>
        </w:tabs>
        <w:rPr>
          <w:rFonts w:ascii="Arial" w:hAnsi="Arial" w:cs="Arial"/>
          <w:sz w:val="24"/>
          <w:szCs w:val="24"/>
          <w:lang w:val="ro-RO"/>
        </w:rPr>
      </w:pPr>
      <w:r w:rsidRPr="00DC659E">
        <w:rPr>
          <w:rFonts w:ascii="Arial" w:hAnsi="Arial" w:cs="Arial"/>
          <w:sz w:val="24"/>
          <w:szCs w:val="24"/>
          <w:lang w:val="ro-RO"/>
        </w:rPr>
        <w:t>contul 55.05 ”Taxe pentru jocurile de noroc pentru Comitetul Olimpic și Sportiv Român”;</w:t>
      </w:r>
    </w:p>
    <w:p w14:paraId="4E9C272B" w14:textId="77777777" w:rsidR="00327220" w:rsidRPr="00DC659E" w:rsidRDefault="00327220" w:rsidP="00327220">
      <w:pPr>
        <w:pStyle w:val="ListParagraph1"/>
        <w:numPr>
          <w:ilvl w:val="0"/>
          <w:numId w:val="2"/>
        </w:numPr>
        <w:tabs>
          <w:tab w:val="left" w:pos="0"/>
        </w:tabs>
        <w:rPr>
          <w:rFonts w:ascii="Arial" w:hAnsi="Arial" w:cs="Arial"/>
          <w:b/>
          <w:sz w:val="24"/>
          <w:szCs w:val="24"/>
          <w:lang w:val="ro-RO"/>
        </w:rPr>
      </w:pPr>
      <w:bookmarkStart w:id="1" w:name="_Hlk172619610"/>
      <w:r w:rsidRPr="00DC659E">
        <w:rPr>
          <w:rFonts w:ascii="Arial" w:hAnsi="Arial" w:cs="Arial"/>
          <w:sz w:val="24"/>
          <w:szCs w:val="24"/>
          <w:lang w:val="ro-RO"/>
        </w:rPr>
        <w:t>contul 55.06 ”Taxe pentru jocurile de noroc pentru Comitetul Național Paralimpic”</w:t>
      </w:r>
      <w:bookmarkEnd w:id="1"/>
      <w:r w:rsidRPr="00DC659E">
        <w:rPr>
          <w:rFonts w:ascii="Arial" w:hAnsi="Arial" w:cs="Arial"/>
          <w:sz w:val="24"/>
          <w:szCs w:val="24"/>
          <w:lang w:val="ro-RO"/>
        </w:rPr>
        <w:t>.</w:t>
      </w:r>
    </w:p>
    <w:p w14:paraId="31935F95" w14:textId="0C2254A1" w:rsidR="002477A5" w:rsidRPr="001864F2" w:rsidRDefault="00327220" w:rsidP="0076199F">
      <w:pPr>
        <w:pStyle w:val="ListParagraph"/>
        <w:numPr>
          <w:ilvl w:val="0"/>
          <w:numId w:val="1"/>
        </w:numPr>
        <w:tabs>
          <w:tab w:val="left" w:pos="0"/>
        </w:tabs>
        <w:spacing w:after="0" w:line="240" w:lineRule="auto"/>
        <w:rPr>
          <w:rFonts w:ascii="Arial" w:hAnsi="Arial" w:cs="Arial"/>
          <w:kern w:val="0"/>
          <w:sz w:val="24"/>
          <w:szCs w:val="24"/>
          <w:lang w:val="ro-RO" w:eastAsia="zh-CN"/>
        </w:rPr>
      </w:pPr>
      <w:r w:rsidRPr="001864F2">
        <w:rPr>
          <w:rFonts w:ascii="Arial" w:hAnsi="Arial" w:cs="Arial"/>
          <w:sz w:val="24"/>
          <w:szCs w:val="24"/>
          <w:lang w:val="ro-RO"/>
        </w:rPr>
        <w:t>După primirea deciziei prev</w:t>
      </w:r>
      <w:r w:rsidR="00514A71" w:rsidRPr="001864F2">
        <w:rPr>
          <w:rFonts w:ascii="Arial" w:hAnsi="Arial" w:cs="Arial"/>
          <w:sz w:val="24"/>
          <w:szCs w:val="24"/>
          <w:lang w:val="ro-RO"/>
        </w:rPr>
        <w:t>ă</w:t>
      </w:r>
      <w:r w:rsidRPr="001864F2">
        <w:rPr>
          <w:rFonts w:ascii="Arial" w:hAnsi="Arial" w:cs="Arial"/>
          <w:sz w:val="24"/>
          <w:szCs w:val="24"/>
          <w:lang w:val="ro-RO"/>
        </w:rPr>
        <w:t xml:space="preserve">zută </w:t>
      </w:r>
      <w:r w:rsidRPr="001864F2">
        <w:rPr>
          <w:rFonts w:ascii="Arial" w:hAnsi="Arial" w:cs="Arial"/>
          <w:bCs/>
          <w:sz w:val="24"/>
          <w:szCs w:val="24"/>
          <w:lang w:val="ro-RO"/>
        </w:rPr>
        <w:t>la pct. 4</w:t>
      </w:r>
      <w:r w:rsidRPr="001864F2">
        <w:rPr>
          <w:rFonts w:ascii="Arial" w:hAnsi="Arial" w:cs="Arial"/>
          <w:sz w:val="24"/>
          <w:szCs w:val="24"/>
          <w:lang w:val="ro-RO"/>
        </w:rPr>
        <w:t xml:space="preserve"> organul fiscal central competent verifică dacă taxa anuală a fost achitată anticipat în toate cele trei conturi înscrise la pct.7. În acest sens întocmeşte și aprobă un referat motivat care stă la baza scăderii din evidenţa fiscală a sumelor individualizate în decizie și existente în contul prevăzut  la pct. 7 lit. a), precum și borderoul de scădere din evidenţa fiscală a diferenței de taxă, al cărui model este cel prevăzut în anexa nr. 8 la O.P.A.N.A.F nr. 63/2017 </w:t>
      </w:r>
      <w:r w:rsidRPr="001864F2">
        <w:rPr>
          <w:rFonts w:ascii="Arial" w:hAnsi="Arial" w:cs="Arial"/>
          <w:i/>
          <w:iCs/>
          <w:kern w:val="0"/>
          <w:sz w:val="24"/>
          <w:szCs w:val="24"/>
          <w:lang w:val="ro-RO" w:eastAsia="zh-CN"/>
        </w:rPr>
        <w:t>privind aprobarea modelelor unor formulare utilizate în domeniul colectării creanţelor fiscale, precum şi pentru modificarea Ordinului preşedintelui Agenţiei Naţionale de Administrare Fiscală nr. 3.454/2016 pentru aprobarea Procedurii de executare silită în cazul debitorilor care au de încasat sume certe, lichide şi exigibile de la autorităţi sau instituţii publice.</w:t>
      </w:r>
    </w:p>
    <w:p w14:paraId="69F2EFAA" w14:textId="77777777" w:rsidR="00327220" w:rsidRPr="00DC659E" w:rsidRDefault="00327220" w:rsidP="00327220">
      <w:pPr>
        <w:pStyle w:val="ListParagraph"/>
        <w:spacing w:after="0" w:line="240" w:lineRule="auto"/>
        <w:ind w:left="0"/>
        <w:rPr>
          <w:rFonts w:ascii="Arial" w:hAnsi="Arial" w:cs="Arial"/>
          <w:kern w:val="0"/>
          <w:sz w:val="24"/>
          <w:szCs w:val="24"/>
          <w:lang w:val="ro-RO" w:eastAsia="zh-CN"/>
        </w:rPr>
      </w:pPr>
    </w:p>
    <w:p w14:paraId="0738C33A" w14:textId="516252AC" w:rsidR="00327220" w:rsidRPr="00620521" w:rsidRDefault="00327220" w:rsidP="00BD5B98">
      <w:pPr>
        <w:numPr>
          <w:ilvl w:val="0"/>
          <w:numId w:val="1"/>
        </w:numPr>
        <w:spacing w:after="0" w:line="240" w:lineRule="auto"/>
        <w:rPr>
          <w:rFonts w:ascii="Arial" w:hAnsi="Arial" w:cs="Arial"/>
          <w:kern w:val="0"/>
          <w:sz w:val="24"/>
          <w:szCs w:val="24"/>
          <w:lang w:val="ro-RO" w:eastAsia="zh-CN"/>
        </w:rPr>
      </w:pPr>
      <w:r w:rsidRPr="00620521">
        <w:rPr>
          <w:rFonts w:ascii="Arial" w:eastAsia="Times New Roman" w:hAnsi="Arial" w:cs="Arial"/>
          <w:sz w:val="24"/>
          <w:szCs w:val="24"/>
          <w:lang w:val="ro-RO"/>
        </w:rPr>
        <w:t xml:space="preserve">Diferența de taxă achitată anticipat </w:t>
      </w:r>
      <w:r w:rsidRPr="00620521">
        <w:rPr>
          <w:rFonts w:ascii="Arial" w:hAnsi="Arial" w:cs="Arial"/>
          <w:sz w:val="24"/>
          <w:szCs w:val="24"/>
          <w:lang w:val="ro-RO"/>
        </w:rPr>
        <w:t>care nu se mai datorează,</w:t>
      </w:r>
      <w:r w:rsidRPr="00620521">
        <w:rPr>
          <w:rFonts w:ascii="Arial" w:eastAsia="Times New Roman" w:hAnsi="Arial" w:cs="Arial"/>
          <w:sz w:val="24"/>
          <w:szCs w:val="24"/>
          <w:lang w:val="ro-RO"/>
        </w:rPr>
        <w:t xml:space="preserve"> se restituie de către organul fiscal central competent  în administrarea organizatorului de jocuri de noroc din contul </w:t>
      </w:r>
      <w:r w:rsidRPr="00620521">
        <w:rPr>
          <w:rFonts w:ascii="Arial" w:hAnsi="Arial" w:cs="Arial"/>
          <w:sz w:val="24"/>
          <w:szCs w:val="24"/>
          <w:lang w:val="ro-RO"/>
        </w:rPr>
        <w:t>de venituri 20.A.16.01.08 ”Taxa anuală pentru obținerea autorizației de exploatare a jocurilor de noroc”</w:t>
      </w:r>
      <w:r w:rsidRPr="00620521">
        <w:rPr>
          <w:rFonts w:ascii="Arial" w:eastAsia="Times New Roman" w:hAnsi="Arial" w:cs="Arial"/>
          <w:sz w:val="24"/>
          <w:szCs w:val="24"/>
          <w:lang w:val="ro-RO"/>
        </w:rPr>
        <w:t xml:space="preserve">, aplicându-se în mod corespunzător dispoziţiile Ordinului ministrului finanţelor nr. 1.899/2004 pentru aprobarea Procedurii de restituire şi de rambursare a sumelor de la buget, </w:t>
      </w:r>
      <w:r w:rsidRPr="00620521">
        <w:rPr>
          <w:rFonts w:ascii="Arial" w:eastAsia="Times New Roman" w:hAnsi="Arial" w:cs="Arial"/>
          <w:sz w:val="24"/>
          <w:szCs w:val="24"/>
          <w:lang w:val="ro-RO"/>
        </w:rPr>
        <w:lastRenderedPageBreak/>
        <w:t>precum şi de acordare a dobânzilor cuvenite contribuabililor pentru sumele restituite sau rambursate cu depăşirea termenului legal.</w:t>
      </w:r>
    </w:p>
    <w:p w14:paraId="463F5114" w14:textId="77777777" w:rsidR="00620521" w:rsidRPr="00620521" w:rsidRDefault="00620521" w:rsidP="00620521">
      <w:pPr>
        <w:spacing w:after="0" w:line="240" w:lineRule="auto"/>
        <w:rPr>
          <w:rFonts w:ascii="Arial" w:hAnsi="Arial" w:cs="Arial"/>
          <w:kern w:val="0"/>
          <w:sz w:val="24"/>
          <w:szCs w:val="24"/>
          <w:lang w:val="ro-RO" w:eastAsia="zh-CN"/>
        </w:rPr>
      </w:pPr>
    </w:p>
    <w:p w14:paraId="27A63E78" w14:textId="4B4BC02A" w:rsidR="00327220" w:rsidRPr="00DC659E" w:rsidRDefault="00327220" w:rsidP="00327220">
      <w:pPr>
        <w:pStyle w:val="ListParagraph"/>
        <w:numPr>
          <w:ilvl w:val="0"/>
          <w:numId w:val="1"/>
        </w:numPr>
        <w:tabs>
          <w:tab w:val="left" w:pos="0"/>
        </w:tabs>
        <w:spacing w:after="0" w:line="240" w:lineRule="auto"/>
        <w:rPr>
          <w:rFonts w:ascii="Arial" w:hAnsi="Arial" w:cs="Arial"/>
          <w:kern w:val="0"/>
          <w:sz w:val="24"/>
          <w:szCs w:val="24"/>
          <w:lang w:val="ro-RO" w:eastAsia="zh-CN"/>
        </w:rPr>
      </w:pPr>
      <w:r w:rsidRPr="00DC659E">
        <w:rPr>
          <w:rFonts w:ascii="Arial" w:hAnsi="Arial" w:cs="Arial"/>
          <w:i/>
          <w:iCs/>
          <w:kern w:val="0"/>
          <w:sz w:val="24"/>
          <w:szCs w:val="24"/>
          <w:lang w:val="ro-RO" w:eastAsia="zh-CN"/>
        </w:rPr>
        <w:t>Pentru sumele încasate în conturile prevăzute la pct. 7 lit. b) și lit. c)</w:t>
      </w:r>
      <w:r w:rsidRPr="00DC659E">
        <w:rPr>
          <w:rFonts w:ascii="Arial" w:hAnsi="Arial" w:cs="Arial"/>
          <w:sz w:val="24"/>
          <w:szCs w:val="24"/>
          <w:lang w:val="ro-RO"/>
        </w:rPr>
        <w:t xml:space="preserve"> organul fiscal central competent</w:t>
      </w:r>
      <w:r w:rsidRPr="00DC659E">
        <w:rPr>
          <w:rFonts w:ascii="Arial" w:hAnsi="Arial" w:cs="Arial"/>
          <w:i/>
          <w:iCs/>
          <w:kern w:val="0"/>
          <w:sz w:val="24"/>
          <w:szCs w:val="24"/>
          <w:lang w:val="ro-RO" w:eastAsia="zh-CN"/>
        </w:rPr>
        <w:t xml:space="preserve"> întocmește ”Situația privind verificarea sumelor încasate în conturile </w:t>
      </w:r>
      <w:r w:rsidRPr="00DC659E">
        <w:rPr>
          <w:rFonts w:ascii="Arial" w:hAnsi="Arial" w:cs="Arial"/>
          <w:sz w:val="24"/>
          <w:szCs w:val="24"/>
          <w:lang w:val="ro-RO"/>
        </w:rPr>
        <w:t xml:space="preserve">55.05 &lt;&lt;Taxe pentru jocurile de noroc pentru Comitetul Olimpic și Sportiv Român&gt;&gt; și 55.06 &lt;&lt;Taxe pentru jocurile de noroc pentru Comitetul Național Paralimpic&gt;&gt; reprezentând taxă anuală aferentă autorizației/autorizațiilor de exploatare a jocurilor de noroc, pentru societatea.....CUI.....,întocmită la data de.....”, prin completarea formularului prevăzut în Anexa nr. 4 la ordin, pe care o transmite în sistem informatic unității trezoreriei statului, care la rândul său, o retransmite către </w:t>
      </w:r>
      <w:r w:rsidRPr="00DC659E">
        <w:rPr>
          <w:rFonts w:ascii="Arial" w:eastAsia="Times New Roman" w:hAnsi="Arial" w:cs="Arial"/>
          <w:sz w:val="24"/>
          <w:szCs w:val="24"/>
          <w:lang w:val="ro-RO"/>
        </w:rPr>
        <w:t>C</w:t>
      </w:r>
      <w:r w:rsidRPr="00DC659E">
        <w:rPr>
          <w:rFonts w:ascii="Arial" w:hAnsi="Arial" w:cs="Arial"/>
          <w:sz w:val="24"/>
          <w:szCs w:val="24"/>
          <w:lang w:val="ro-RO"/>
        </w:rPr>
        <w:t>omitetul Olimpic și Sportiv Român și respectiv Comitetul Național Paralimpic, la adresa de e-mail comunicată în acest scop de aceștia la Ministerul Finanțelor – Direcția Generală de Trezorerie și Contabilitate Publică.</w:t>
      </w:r>
    </w:p>
    <w:p w14:paraId="2FB7567D" w14:textId="77777777" w:rsidR="00327220" w:rsidRPr="00DC659E" w:rsidRDefault="00327220" w:rsidP="00327220">
      <w:pPr>
        <w:pStyle w:val="ListParagraph"/>
        <w:rPr>
          <w:rFonts w:ascii="Arial" w:hAnsi="Arial" w:cs="Arial"/>
          <w:kern w:val="0"/>
          <w:sz w:val="24"/>
          <w:szCs w:val="24"/>
          <w:lang w:val="ro-RO" w:eastAsia="zh-CN"/>
        </w:rPr>
      </w:pPr>
    </w:p>
    <w:p w14:paraId="277DCB89" w14:textId="77777777" w:rsidR="00327220" w:rsidRPr="00DC659E" w:rsidRDefault="00327220" w:rsidP="00327220">
      <w:pPr>
        <w:numPr>
          <w:ilvl w:val="0"/>
          <w:numId w:val="1"/>
        </w:numPr>
        <w:spacing w:after="0" w:line="240" w:lineRule="auto"/>
        <w:rPr>
          <w:rFonts w:ascii="Arial" w:hAnsi="Arial" w:cs="Arial"/>
          <w:kern w:val="0"/>
          <w:sz w:val="24"/>
          <w:szCs w:val="24"/>
          <w:lang w:val="ro-RO" w:eastAsia="zh-CN"/>
        </w:rPr>
      </w:pPr>
      <w:r w:rsidRPr="00DC659E">
        <w:rPr>
          <w:rFonts w:ascii="Arial" w:hAnsi="Arial" w:cs="Arial"/>
          <w:kern w:val="0"/>
          <w:sz w:val="24"/>
          <w:szCs w:val="24"/>
          <w:lang w:val="ro-RO" w:eastAsia="zh-CN"/>
        </w:rPr>
        <w:t xml:space="preserve">Restituirea sumelor prevăzute în decizia de la pct.4 cuprinse în situația prevăzută la pct. 10  </w:t>
      </w:r>
      <w:r w:rsidRPr="00DC659E">
        <w:rPr>
          <w:rFonts w:ascii="Arial" w:eastAsia="Times New Roman" w:hAnsi="Arial" w:cs="Arial"/>
          <w:sz w:val="24"/>
          <w:szCs w:val="24"/>
          <w:lang w:val="ro-RO"/>
        </w:rPr>
        <w:t>se face direct din conturile bancare ale C</w:t>
      </w:r>
      <w:r w:rsidRPr="00DC659E">
        <w:rPr>
          <w:rFonts w:ascii="Arial" w:hAnsi="Arial" w:cs="Arial"/>
          <w:sz w:val="24"/>
          <w:szCs w:val="24"/>
          <w:lang w:val="ro-RO"/>
        </w:rPr>
        <w:t>omitetului Olimpic și Sportiv Român și respectiv ale Comitetului Național Paralimpic.</w:t>
      </w:r>
    </w:p>
    <w:p w14:paraId="1FF5FD3F" w14:textId="77777777" w:rsidR="00327220" w:rsidRPr="00DC659E" w:rsidRDefault="00327220" w:rsidP="00327220">
      <w:pPr>
        <w:pStyle w:val="ListParagraph"/>
        <w:spacing w:after="0" w:line="240" w:lineRule="auto"/>
        <w:ind w:left="0"/>
        <w:rPr>
          <w:rFonts w:ascii="Arial" w:hAnsi="Arial" w:cs="Arial"/>
          <w:kern w:val="0"/>
          <w:sz w:val="24"/>
          <w:szCs w:val="24"/>
          <w:lang w:val="ro-RO" w:eastAsia="zh-CN"/>
        </w:rPr>
      </w:pPr>
    </w:p>
    <w:p w14:paraId="3B010F63" w14:textId="77777777" w:rsidR="00327220" w:rsidRPr="00DC659E" w:rsidRDefault="00327220" w:rsidP="00327220">
      <w:pPr>
        <w:pStyle w:val="ListParagraph1"/>
        <w:numPr>
          <w:ilvl w:val="0"/>
          <w:numId w:val="1"/>
        </w:numPr>
        <w:tabs>
          <w:tab w:val="left" w:pos="0"/>
        </w:tabs>
        <w:spacing w:after="0" w:line="240" w:lineRule="auto"/>
        <w:rPr>
          <w:rFonts w:ascii="Arial" w:hAnsi="Arial" w:cs="Arial"/>
          <w:kern w:val="0"/>
          <w:sz w:val="24"/>
          <w:szCs w:val="24"/>
          <w:lang w:val="ro-RO" w:eastAsia="zh-CN"/>
        </w:rPr>
      </w:pPr>
      <w:r w:rsidRPr="00DC659E">
        <w:rPr>
          <w:rFonts w:ascii="Arial" w:hAnsi="Arial" w:cs="Arial"/>
          <w:sz w:val="24"/>
          <w:szCs w:val="24"/>
          <w:lang w:val="ro-RO"/>
        </w:rPr>
        <w:t xml:space="preserve">În cazul în care organul fiscal central constată că taxa anuală nu a fost achitată anticipat în toate cele trei conturi înscrise la pct.7, acesta restituie Comitetului de Supraveghere decizia prevăzută la pct. 4, însoțită de notificare, cu precizări în acest sens. După primirea deciziei și a notificării, Comitetul de Supraveghere va înștiința Comitetul Olimpic și Sportiv Român și Comitetul Național Paralimpic cu privire la neîndeplinirea condițiilor pentru restituirea sumelor stabilite. </w:t>
      </w:r>
    </w:p>
    <w:p w14:paraId="32B816F7" w14:textId="77777777" w:rsidR="00327220" w:rsidRPr="00DC659E" w:rsidRDefault="00327220" w:rsidP="00327220">
      <w:pPr>
        <w:pStyle w:val="ListParagraph1"/>
        <w:tabs>
          <w:tab w:val="left" w:pos="0"/>
        </w:tabs>
        <w:spacing w:after="0" w:line="240" w:lineRule="auto"/>
        <w:ind w:left="0"/>
        <w:rPr>
          <w:rFonts w:ascii="Arial" w:hAnsi="Arial" w:cs="Arial"/>
          <w:kern w:val="0"/>
          <w:sz w:val="24"/>
          <w:szCs w:val="24"/>
          <w:lang w:val="ro-RO" w:eastAsia="zh-CN"/>
        </w:rPr>
      </w:pPr>
    </w:p>
    <w:p w14:paraId="5B55DEF1" w14:textId="1294AF14" w:rsidR="00327220" w:rsidRPr="00DC659E" w:rsidRDefault="00327220" w:rsidP="00327220">
      <w:pPr>
        <w:rPr>
          <w:rFonts w:ascii="Arial" w:eastAsia="Times New Roman" w:hAnsi="Arial" w:cs="Arial"/>
          <w:sz w:val="24"/>
          <w:szCs w:val="24"/>
          <w:lang w:val="ro-RO"/>
        </w:rPr>
      </w:pPr>
      <w:r w:rsidRPr="00DC659E">
        <w:rPr>
          <w:rFonts w:ascii="Arial" w:eastAsia="Times New Roman" w:hAnsi="Arial" w:cs="Arial"/>
          <w:b/>
          <w:bCs/>
          <w:sz w:val="24"/>
          <w:szCs w:val="24"/>
          <w:lang w:val="ro-RO"/>
        </w:rPr>
        <w:t>13.</w:t>
      </w:r>
      <w:r w:rsidRPr="00DC659E">
        <w:rPr>
          <w:rFonts w:ascii="Arial" w:hAnsi="Arial" w:cs="Arial"/>
          <w:sz w:val="24"/>
          <w:szCs w:val="24"/>
        </w:rPr>
        <w:t xml:space="preserve"> Restituirea diferenței de taxă achitată anticipat se realizează în termenul prevăzut la art. 77 din Legea nr. 207/2015 privind Codul de procedură fiscală, cu modificările și completările ulterioare, respectiv în termen de 45 de zile de la </w:t>
      </w:r>
      <w:r w:rsidRPr="00DC659E">
        <w:rPr>
          <w:rFonts w:ascii="Arial" w:hAnsi="Arial" w:cs="Arial"/>
          <w:sz w:val="24"/>
          <w:szCs w:val="24"/>
          <w:lang w:val="ro-MD"/>
        </w:rPr>
        <w:t>î</w:t>
      </w:r>
      <w:r w:rsidRPr="00DC659E">
        <w:rPr>
          <w:rFonts w:ascii="Arial" w:hAnsi="Arial" w:cs="Arial"/>
          <w:sz w:val="24"/>
          <w:szCs w:val="24"/>
        </w:rPr>
        <w:t xml:space="preserve">nregistrarea de către organul fiscal central competent a deciziei prevăzută la pct. 4. </w:t>
      </w:r>
    </w:p>
    <w:p w14:paraId="0175E239" w14:textId="77777777" w:rsidR="00B80025" w:rsidRPr="00DC659E" w:rsidRDefault="00B80025">
      <w:pPr>
        <w:rPr>
          <w:rFonts w:ascii="Arial" w:hAnsi="Arial" w:cs="Arial"/>
          <w:sz w:val="24"/>
          <w:szCs w:val="24"/>
        </w:rPr>
      </w:pPr>
    </w:p>
    <w:sectPr w:rsidR="00B80025" w:rsidRPr="00DC659E" w:rsidSect="00DC659E">
      <w:headerReference w:type="default" r:id="rId8"/>
      <w:footerReference w:type="default" r:id="rId9"/>
      <w:pgSz w:w="12240" w:h="15840"/>
      <w:pgMar w:top="0" w:right="720" w:bottom="540" w:left="1800" w:header="72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8D83D" w14:textId="77777777" w:rsidR="00956C84" w:rsidRDefault="00956C84" w:rsidP="008D2FC2">
      <w:pPr>
        <w:spacing w:after="0" w:line="240" w:lineRule="auto"/>
      </w:pPr>
      <w:r>
        <w:separator/>
      </w:r>
    </w:p>
  </w:endnote>
  <w:endnote w:type="continuationSeparator" w:id="0">
    <w:p w14:paraId="1317C47B" w14:textId="77777777" w:rsidR="00956C84" w:rsidRDefault="00956C84" w:rsidP="008D2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062476"/>
      <w:docPartObj>
        <w:docPartGallery w:val="Page Numbers (Bottom of Page)"/>
        <w:docPartUnique/>
      </w:docPartObj>
    </w:sdtPr>
    <w:sdtEndPr>
      <w:rPr>
        <w:noProof/>
      </w:rPr>
    </w:sdtEndPr>
    <w:sdtContent>
      <w:p w14:paraId="263C6624" w14:textId="5C122CCD" w:rsidR="008D2FC2" w:rsidRDefault="008D2FC2">
        <w:pPr>
          <w:pStyle w:val="Footer"/>
          <w:jc w:val="center"/>
        </w:pPr>
        <w:r>
          <w:fldChar w:fldCharType="begin"/>
        </w:r>
        <w:r>
          <w:instrText xml:space="preserve"> PAGE   \* MERGEFORMAT </w:instrText>
        </w:r>
        <w:r>
          <w:fldChar w:fldCharType="separate"/>
        </w:r>
        <w:r w:rsidR="000A40F0">
          <w:rPr>
            <w:noProof/>
          </w:rPr>
          <w:t>3</w:t>
        </w:r>
        <w:r>
          <w:rPr>
            <w:noProof/>
          </w:rPr>
          <w:fldChar w:fldCharType="end"/>
        </w:r>
      </w:p>
    </w:sdtContent>
  </w:sdt>
  <w:p w14:paraId="041A8A25" w14:textId="77777777" w:rsidR="008D2FC2" w:rsidRDefault="008D2F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0BF4B" w14:textId="77777777" w:rsidR="00956C84" w:rsidRDefault="00956C84" w:rsidP="008D2FC2">
      <w:pPr>
        <w:spacing w:after="0" w:line="240" w:lineRule="auto"/>
      </w:pPr>
      <w:r>
        <w:separator/>
      </w:r>
    </w:p>
  </w:footnote>
  <w:footnote w:type="continuationSeparator" w:id="0">
    <w:p w14:paraId="1CFC91CF" w14:textId="77777777" w:rsidR="00956C84" w:rsidRDefault="00956C84" w:rsidP="008D2F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75995" w14:textId="49555047" w:rsidR="0098277E" w:rsidRDefault="00327220">
    <w:pPr>
      <w:pStyle w:val="Header1"/>
    </w:pPr>
    <w:r>
      <w:rPr>
        <w:noProof/>
        <w:lang w:val="en-US"/>
      </w:rPr>
      <mc:AlternateContent>
        <mc:Choice Requires="wps">
          <w:drawing>
            <wp:anchor distT="0" distB="0" distL="114300" distR="114300" simplePos="0" relativeHeight="251659264" behindDoc="0" locked="0" layoutInCell="0" allowOverlap="1" wp14:anchorId="08569BE5" wp14:editId="1E80AC0E">
              <wp:simplePos x="0" y="0"/>
              <wp:positionH relativeFrom="margin">
                <wp:align>center</wp:align>
              </wp:positionH>
              <wp:positionV relativeFrom="margin">
                <wp:align>center</wp:align>
              </wp:positionV>
              <wp:extent cx="5939155" cy="1809750"/>
              <wp:effectExtent l="0" t="0" r="4445"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9155" cy="1809750"/>
                      </a:xfrm>
                      <a:custGeom>
                        <a:avLst/>
                        <a:gdLst>
                          <a:gd name="T0" fmla="*/ 0 w 16501"/>
                          <a:gd name="T1" fmla="*/ 0 h 5029"/>
                          <a:gd name="T2" fmla="*/ 16500 w 16501"/>
                          <a:gd name="T3" fmla="*/ 0 h 5029"/>
                          <a:gd name="T4" fmla="*/ 0 w 16501"/>
                          <a:gd name="T5" fmla="*/ 0 h 5029"/>
                          <a:gd name="T6" fmla="*/ 0 w 16501"/>
                          <a:gd name="T7" fmla="*/ 5028 h 5029"/>
                          <a:gd name="T8" fmla="*/ 16500 w 16501"/>
                          <a:gd name="T9" fmla="*/ 5028 h 5029"/>
                          <a:gd name="T10" fmla="*/ 0 w 16501"/>
                          <a:gd name="T11" fmla="*/ 5028 h 5029"/>
                        </a:gdLst>
                        <a:ahLst/>
                        <a:cxnLst>
                          <a:cxn ang="0">
                            <a:pos x="T0" y="T1"/>
                          </a:cxn>
                          <a:cxn ang="0">
                            <a:pos x="T2" y="T3"/>
                          </a:cxn>
                          <a:cxn ang="0">
                            <a:pos x="T4" y="T5"/>
                          </a:cxn>
                          <a:cxn ang="0">
                            <a:pos x="T6" y="T7"/>
                          </a:cxn>
                          <a:cxn ang="0">
                            <a:pos x="T8" y="T9"/>
                          </a:cxn>
                          <a:cxn ang="0">
                            <a:pos x="T10" y="T11"/>
                          </a:cxn>
                        </a:cxnLst>
                        <a:rect l="0" t="0" r="r" b="b"/>
                        <a:pathLst>
                          <a:path w="16501" h="5029">
                            <a:moveTo>
                              <a:pt x="0" y="0"/>
                            </a:moveTo>
                            <a:lnTo>
                              <a:pt x="16500" y="0"/>
                            </a:lnTo>
                            <a:lnTo>
                              <a:pt x="0" y="0"/>
                            </a:lnTo>
                            <a:close/>
                            <a:moveTo>
                              <a:pt x="0" y="5028"/>
                            </a:moveTo>
                            <a:lnTo>
                              <a:pt x="16500" y="5028"/>
                            </a:lnTo>
                            <a:lnTo>
                              <a:pt x="0" y="5028"/>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C3E62CC" id="Freeform: Shape 1" o:spid="_x0000_s1026" style="position:absolute;margin-left:0;margin-top:0;width:467.65pt;height:142.5pt;z-index:251659264;visibility:visible;mso-wrap-style:non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middle" coordsize="16501,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0FsQMAAOgJAAAOAAAAZHJzL2Uyb0RvYy54bWysVluPmzwQff+k/geLx0osl4UkoM1WbbJU&#10;n7S9SN3+AAdMQAUb2U7Itup/74y5hKRNd9U2D8RmDuOZc8Ye37w61BXZM6lKwZeWd+VahPFUZCXf&#10;Lq3PD4m9sIjSlGe0EpwtrUemrFe3L/67aZuY+aIQVcYkASdcxW2ztAqtm9hxVFqwmqor0TAOxlzI&#10;mmqYyq2TSdqC97pyfNedOa2QWSNFypSCt+vOaN0a/3nOUv0hzxXTpFpaEJs2T2meG3w6tzc03kra&#10;FGXah0H/IIqalhwWHV2tqaZkJ8ufXNVlKoUSub5KRe2IPC9TZnKAbDz3LJtPBW2YyQXIUc1Ik/p3&#10;btP3+4+SlBloZxFOa5AokYwh4TEx6xMPSWobFQP2U/NRYpqquRfpFwUG58SCEwUYsmnfiQyc0Z0W&#10;hphDLmv8ElImB8P/48g/O2iSwsswuo68MLRICjZv4Ubz0Cjk0Hj4PN0p/ZYJ44ru75XuBMxgZOjP&#10;+iQeQOy8rkDLlw5xSUu8WeiaTECjEQQ5T0AFCV0/6ktixPgTDDq56Ox6AnTJr50FJ5gLUQEBT0Y1&#10;O8FccDSfgCC1xYWgYIuO6/02w2gC/I0/73ncT8k/8waCbwdJaTGonB54LzOMCMUTxjW11QiFNYWa&#10;Q+E8GJnBBaCwJi6AQVcEX6PeT4JBNwSHzwKDNgiePwsM5CPYlN2TYSCziPZOUuw+66mRcOSdH3bS&#10;InDYbbrKbqhGRpEZHJIWtprZG6SAHYgbAE212LMHYUD6bL/CckdrxacoUz0mxGHfDvbhv/mFt8GW&#10;VkIxs5+P/qd4LJKe0yNg+LgDHgOYgAfI8H/B52AewoA8kSBTHSNpyPXkCOIiKavKxFyZYhtfALB7&#10;A4dbTzcec6YnfIvc6G5xtwjswJ/d2YG7Xtuvk1VgzxJvHq6v16vV2vuOOnhBXJRZxjguM/QnL3je&#10;+d93yq6zjB1KiarM0B2Kq+R2s6ok2VPoj4n59QxPYM5pGIYQyAW/n6Tk+YH7xo/sZLaY20EShHY0&#10;dxe260VvopkbRME6OU3pvuTs71PC+o1CPzRVOwn6LDfX/H7OjcZS7HhmFCwYze76saZl1Y0n2WPE&#10;x+xB4UFb0wSx73WNciOyR+iBUnTXDbgewaAQ8qtFWrhqLC0OdyGLVP9z6OSRFwSwrbWZBOHch4mc&#10;WjZTC+UpOFpaqYZN3U1WurvP7BpZbgtYyTNccPEaem9eYoc08XVR9RO4TphM+qsP3lemc4M6XtBu&#10;fwAAAP//AwBQSwMEFAAGAAgAAAAhAHtdQtHcAAAABQEAAA8AAABkcnMvZG93bnJldi54bWxMj8FO&#10;wzAQRO9I/Qdrkbgg6tCqVRviVKXApQcoLR/gxEsc1V5H8bYNf4/hApeVRjOaeVusBu/EGfvYBlJw&#10;P85AINXBtNQo+Di83C1ARNZktAuECr4wwqocXRU6N+FC73jecyNSCcVcK7DMXS5lrC16HcehQ0re&#10;Z+i95iT7RppeX1K5d3KSZXPpdUtpweoONxbr4/7kFfiKebt5cm183dKteXtco33eKXVzPawfQDAO&#10;/BeGH/yEDmViqsKJTBROQXqEf2/yltPZFESlYLKYZSDLQv6nL78BAAD//wMAUEsBAi0AFAAGAAgA&#10;AAAhALaDOJL+AAAA4QEAABMAAAAAAAAAAAAAAAAAAAAAAFtDb250ZW50X1R5cGVzXS54bWxQSwEC&#10;LQAUAAYACAAAACEAOP0h/9YAAACUAQAACwAAAAAAAAAAAAAAAAAvAQAAX3JlbHMvLnJlbHNQSwEC&#10;LQAUAAYACAAAACEAxbhNBbEDAADoCQAADgAAAAAAAAAAAAAAAAAuAgAAZHJzL2Uyb0RvYy54bWxQ&#10;SwECLQAUAAYACAAAACEAe11C0dwAAAAFAQAADwAAAAAAAAAAAAAAAAALBgAAZHJzL2Rvd25yZXYu&#10;eG1sUEsFBgAAAAAEAAQA8wAAABQHAAAAAA==&#10;" o:allowincell="f" path="m,l16500,,,xm,5028r16500,l,5028xe" filled="f" stroked="f">
              <v:path arrowok="t" o:connecttype="custom" o:connectlocs="0,0;5938795,0;0,0;0,1809390;5938795,1809390;0,1809390" o:connectangles="0,0,0,0,0,0"/>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57FE24D0"/>
    <w:lvl w:ilvl="0">
      <w:start w:val="1"/>
      <w:numFmt w:val="decimal"/>
      <w:suff w:val="space"/>
      <w:lvlText w:val="%1."/>
      <w:lvlJc w:val="left"/>
      <w:pPr>
        <w:tabs>
          <w:tab w:val="num" w:pos="0"/>
        </w:tabs>
        <w:ind w:left="0" w:firstLine="0"/>
      </w:pPr>
      <w:rPr>
        <w:b/>
        <w:i w:val="0"/>
        <w:strike w:val="0"/>
        <w:dstrike w:val="0"/>
        <w:color w:val="auto"/>
      </w:r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
    <w:nsid w:val="00000002"/>
    <w:multiLevelType w:val="multilevel"/>
    <w:tmpl w:val="00000002"/>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3A9"/>
    <w:rsid w:val="00015C19"/>
    <w:rsid w:val="000A40F0"/>
    <w:rsid w:val="001864F2"/>
    <w:rsid w:val="002477A5"/>
    <w:rsid w:val="00327220"/>
    <w:rsid w:val="00365D15"/>
    <w:rsid w:val="00477206"/>
    <w:rsid w:val="00514A71"/>
    <w:rsid w:val="005F60FB"/>
    <w:rsid w:val="00620521"/>
    <w:rsid w:val="00657A76"/>
    <w:rsid w:val="007463A9"/>
    <w:rsid w:val="008453F1"/>
    <w:rsid w:val="008D2FC2"/>
    <w:rsid w:val="00924339"/>
    <w:rsid w:val="00940653"/>
    <w:rsid w:val="00956C84"/>
    <w:rsid w:val="00B80025"/>
    <w:rsid w:val="00CC2DD0"/>
    <w:rsid w:val="00DC659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35A16"/>
  <w15:chartTrackingRefBased/>
  <w15:docId w15:val="{DD3F5F7B-508A-4F62-8E69-299246AF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220"/>
    <w:pPr>
      <w:widowControl w:val="0"/>
      <w:suppressAutoHyphens/>
      <w:jc w:val="both"/>
    </w:pPr>
    <w:rPr>
      <w:rFonts w:ascii="Times New Roman" w:eastAsia="SimSun" w:hAnsi="Times New Roman" w:cs="Times New Roman"/>
      <w:kern w:val="2"/>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1"/>
    <w:uiPriority w:val="99"/>
    <w:qFormat/>
    <w:rsid w:val="00327220"/>
    <w:rPr>
      <w:rFonts w:cs="Times New Roman"/>
      <w:kern w:val="2"/>
      <w:sz w:val="21"/>
      <w:szCs w:val="21"/>
    </w:rPr>
  </w:style>
  <w:style w:type="paragraph" w:styleId="ListParagraph">
    <w:name w:val="List Paragraph"/>
    <w:basedOn w:val="Normal"/>
    <w:uiPriority w:val="34"/>
    <w:qFormat/>
    <w:rsid w:val="00327220"/>
    <w:pPr>
      <w:ind w:left="720"/>
      <w:contextualSpacing/>
    </w:pPr>
  </w:style>
  <w:style w:type="paragraph" w:customStyle="1" w:styleId="ListParagraph1">
    <w:name w:val="List Paragraph1"/>
    <w:basedOn w:val="Normal"/>
    <w:uiPriority w:val="34"/>
    <w:qFormat/>
    <w:rsid w:val="00327220"/>
    <w:pPr>
      <w:ind w:left="720"/>
      <w:contextualSpacing/>
    </w:pPr>
  </w:style>
  <w:style w:type="paragraph" w:customStyle="1" w:styleId="Header1">
    <w:name w:val="Header1"/>
    <w:basedOn w:val="Normal"/>
    <w:link w:val="HeaderChar"/>
    <w:uiPriority w:val="99"/>
    <w:unhideWhenUsed/>
    <w:qFormat/>
    <w:rsid w:val="00327220"/>
    <w:pPr>
      <w:tabs>
        <w:tab w:val="center" w:pos="4153"/>
        <w:tab w:val="right" w:pos="8306"/>
      </w:tabs>
      <w:snapToGrid w:val="0"/>
    </w:pPr>
    <w:rPr>
      <w:rFonts w:asciiTheme="minorHAnsi" w:eastAsiaTheme="minorHAnsi" w:hAnsiTheme="minorHAnsi"/>
      <w:lang w:val="ro-RO"/>
    </w:rPr>
  </w:style>
  <w:style w:type="paragraph" w:customStyle="1" w:styleId="western">
    <w:name w:val="western"/>
    <w:unhideWhenUsed/>
    <w:qFormat/>
    <w:rsid w:val="00327220"/>
    <w:pPr>
      <w:widowControl w:val="0"/>
      <w:suppressAutoHyphens/>
      <w:spacing w:after="0" w:line="240" w:lineRule="auto"/>
    </w:pPr>
    <w:rPr>
      <w:rFonts w:ascii="Times New Roman" w:eastAsia="SimSun" w:hAnsi="Times New Roman" w:cs="Times New Roman"/>
      <w:sz w:val="20"/>
      <w:szCs w:val="20"/>
      <w:lang w:val="en-US" w:eastAsia="zh-CN"/>
    </w:rPr>
  </w:style>
  <w:style w:type="paragraph" w:styleId="Header">
    <w:name w:val="header"/>
    <w:basedOn w:val="Normal"/>
    <w:link w:val="HeaderChar1"/>
    <w:uiPriority w:val="99"/>
    <w:unhideWhenUsed/>
    <w:rsid w:val="008D2FC2"/>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8D2FC2"/>
    <w:rPr>
      <w:rFonts w:ascii="Times New Roman" w:eastAsia="SimSun" w:hAnsi="Times New Roman" w:cs="Times New Roman"/>
      <w:kern w:val="2"/>
      <w:sz w:val="21"/>
      <w:szCs w:val="21"/>
      <w:lang w:val="en-US"/>
    </w:rPr>
  </w:style>
  <w:style w:type="paragraph" w:styleId="Footer">
    <w:name w:val="footer"/>
    <w:basedOn w:val="Normal"/>
    <w:link w:val="FooterChar"/>
    <w:uiPriority w:val="99"/>
    <w:unhideWhenUsed/>
    <w:rsid w:val="008D2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FC2"/>
    <w:rPr>
      <w:rFonts w:ascii="Times New Roman" w:eastAsia="SimSun" w:hAnsi="Times New Roman" w:cs="Times New Roman"/>
      <w:kern w:val="2"/>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17B6B-EA94-4FFF-8D0A-039928ECE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FLORINA-MIHAELA STATE</dc:creator>
  <cp:keywords/>
  <dc:description/>
  <cp:lastModifiedBy>CUŢA PRASACU</cp:lastModifiedBy>
  <cp:revision>2</cp:revision>
  <cp:lastPrinted>2024-11-20T10:08:00Z</cp:lastPrinted>
  <dcterms:created xsi:type="dcterms:W3CDTF">2024-12-03T07:10:00Z</dcterms:created>
  <dcterms:modified xsi:type="dcterms:W3CDTF">2024-12-03T07:10:00Z</dcterms:modified>
</cp:coreProperties>
</file>